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663D98" w:rsidRDefault="00663D98" w:rsidP="00663D98">
      <w:pPr>
        <w:spacing w:line="480" w:lineRule="auto"/>
        <w:jc w:val="center"/>
        <w:rPr>
          <w:rFonts w:ascii="Times New Roman" w:hAnsi="Times New Roman" w:cs="Times New Roman"/>
          <w:sz w:val="24"/>
          <w:szCs w:val="24"/>
        </w:rPr>
      </w:pPr>
    </w:p>
    <w:p w:rsidR="0080412D" w:rsidRDefault="00663D98" w:rsidP="00663D98">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Mix of Fortune 500 C</w:t>
      </w:r>
      <w:r w:rsidR="00FD547D">
        <w:rPr>
          <w:rFonts w:ascii="Times New Roman" w:hAnsi="Times New Roman" w:cs="Times New Roman"/>
          <w:sz w:val="24"/>
          <w:szCs w:val="24"/>
        </w:rPr>
        <w:t>ompanies’ Marketing Mix</w:t>
      </w:r>
    </w:p>
    <w:p w:rsidR="00663D98" w:rsidRDefault="00663D98" w:rsidP="00663D9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63D98" w:rsidRDefault="00663D98" w:rsidP="00663D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3D98" w:rsidRPr="00663D98" w:rsidRDefault="00663D98" w:rsidP="00663D98">
      <w:pPr>
        <w:rPr>
          <w:rFonts w:ascii="Times New Roman" w:hAnsi="Times New Roman" w:cs="Times New Roman"/>
          <w:sz w:val="24"/>
          <w:szCs w:val="24"/>
        </w:rPr>
      </w:pPr>
    </w:p>
    <w:p w:rsidR="00663D98" w:rsidRP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663D98" w:rsidRDefault="00663D98" w:rsidP="00663D98">
      <w:pPr>
        <w:rPr>
          <w:rFonts w:ascii="Times New Roman" w:hAnsi="Times New Roman" w:cs="Times New Roman"/>
          <w:sz w:val="24"/>
          <w:szCs w:val="24"/>
        </w:rPr>
      </w:pPr>
    </w:p>
    <w:p w:rsidR="008B16F7" w:rsidRPr="008B16F7" w:rsidRDefault="008B16F7" w:rsidP="008B16F7">
      <w:pPr>
        <w:spacing w:line="480" w:lineRule="auto"/>
        <w:jc w:val="center"/>
        <w:rPr>
          <w:rFonts w:ascii="Times New Roman" w:hAnsi="Times New Roman" w:cs="Times New Roman"/>
          <w:sz w:val="24"/>
          <w:szCs w:val="24"/>
        </w:rPr>
      </w:pPr>
      <w:r w:rsidRPr="008B16F7">
        <w:rPr>
          <w:rFonts w:ascii="Times New Roman" w:hAnsi="Times New Roman" w:cs="Times New Roman"/>
          <w:sz w:val="24"/>
          <w:szCs w:val="24"/>
        </w:rPr>
        <w:lastRenderedPageBreak/>
        <w:t>Global Fortune 500 Companies’ Marketing Mix</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Global marketing plays an integral part in the growth and expansion of leading companies in the world. Global marketing entails the adjustment of marketing strategies of organizations to align with the conditions of other countries. Therefore, organizations ought to plan, create, position, and promote their goods as well as services in global markets to reach potential customers. Besides, it is no brainer that leading companies need to have competitive edges over rival firms in their respective industries. The goals of global marketing can only be achieved when companies within the Global Fortune 500 list as well as other small scale firms employ holistic marketing strategies. The paper provides a conceptual framework standardization vs. customization alternatives, multinational diffusion theory, and global branding strategies. Also, the paper also gives insight into the forces behind foreign market pricing, methods of non-cash compensation used in international transactions, globally integrated marketing communication strategies, and the importance of logistics.</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Standardization vs. Customization</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There are relative merits of standardization as well as customization for global products’ strategies, but both are crucial to companies aiming at proliferating foreign markets. Standardization helps companies to adapt to differential cultures in foreign countries and is crucial to their survival in the long-term. For example, Apple uses the one-size-fits-all approach that ensures that all their products are standardized in the global market (Hovivian, 2017). There are no visible customizations on their products since they have similar pricing, carrier specifications and power sources. Standardization involves the creation of one strategy for all marketing mix elements to achieve consistency with consumers in the global market. The </w:t>
      </w:r>
      <w:r w:rsidRPr="008B16F7">
        <w:rPr>
          <w:rFonts w:ascii="Times New Roman" w:hAnsi="Times New Roman" w:cs="Times New Roman"/>
          <w:sz w:val="24"/>
          <w:szCs w:val="24"/>
        </w:rPr>
        <w:lastRenderedPageBreak/>
        <w:t>customers can expect the same level of quality for all of the companies’ products regardless of their geographical positions. In this regard, companies are certain about brand loyalty. Most importantly, companies can lower their operating costs in these countries. Cost reduction can be achieved through the sale of large amounts of their products while buying in bulk. Besides, companies can save time and expenses used in marketing their products and services. Notably, companies can benefit from economies of scales such as enhancement of research and development and streamlining of uninformed marketing mix strategies.</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 xml:space="preserve">On the contrary, customization is a marketing strategy that requires companies to align their operations to the cultural needs of a specific country. In this regard, there are glaring marketing disparities from one country to another. The strategy is customer-centred and tries as much as possible to meet the needs of customers in a particular country. Therefore, it increases sales since customers are more satisfied as compared to when a standardization strategy is adopted. For examples, Coca-Cola uses a personalized approach for its products depending on the environmental factors in foreign companies. “Share a Coke” campaign was a marketing strategy that made the world to go crazy since its customers had their personalized bottles with their names on them (Faulkner). I think this was a wise strategy since no one would relish the idea of quenching their thirst from a bottle that had their names. </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Multinational Diffusion Theory</w:t>
      </w:r>
    </w:p>
    <w:p w:rsidR="008B16F7" w:rsidRPr="008B16F7" w:rsidRDefault="008B16F7" w:rsidP="008B16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 xml:space="preserve">The multinational diffusion theory provides an explanatory framework to how products and services gain momentum and spread through demographics in the social organization. The aim of diffusion is to make persons affiliated to certain social systems to accept a novel idea or product. The customers are required to undergo transformations and adopt the products. </w:t>
      </w:r>
      <w:r w:rsidRPr="008B16F7">
        <w:rPr>
          <w:rFonts w:ascii="Times New Roman" w:hAnsi="Times New Roman" w:cs="Times New Roman"/>
          <w:sz w:val="24"/>
          <w:szCs w:val="24"/>
        </w:rPr>
        <w:lastRenderedPageBreak/>
        <w:t>Adoption is crucial since it enables the customers to have behavioral characteristics that align to the expectations of the market strategies for the new products and ideas (Jiang &amp; Luan, 2018). After going through a transformation, they should buy and use the new product. The secret behind successful adoptions is that the consumers must perceive that the products are new innovations are non-existent elsewhere. The will try and satisfy the curiosity by purchasing the product; as a result, diffusion is initiated in the social system. The diffusion process does not occur simultaneously since some persons are likely to adopt the products faster than others. Adaptation involves the evaluation of product characteristics to ensure that the companies have positional advantages over their rivals (Westjohn &amp; Magnusson, 2017). In this regard, companies need to comprehend the behavioral characteristics of the target population to ensure that their marketing strategies have optimal outcomes.</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Global Branding Strategies</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 xml:space="preserve">In a bid to globalize the brands of various companies, marketing strategies have become inevitable. Creation of a global brand is often a daunting task for companies, but the process has been made less complicated by carrying a comprehensive analysis of the customers' behaviors. Understanding customer behaviors is essential since they have different buying preferences, culture, and habits. Also, companies need to position themselves properly in global markets to understand the completion and identifying competitive edges that can be utilized. Companies ought to carry out a background analysis of companies with similar products in the global market and use marketing strategies that are different from theirs. Besides, companies should strive to build a consistent and robust brand culture that is a blueprint to their products. Consequently, the products will be recognizable to the customers anywhere in the world. Most importantly, the brands should reflect on the cultures of the target market. Companies can also find right partners </w:t>
      </w:r>
      <w:r w:rsidRPr="008B16F7">
        <w:rPr>
          <w:rFonts w:ascii="Times New Roman" w:hAnsi="Times New Roman" w:cs="Times New Roman"/>
          <w:sz w:val="24"/>
          <w:szCs w:val="24"/>
        </w:rPr>
        <w:lastRenderedPageBreak/>
        <w:t>overseas to help them in their marketing. The companies can benefit from outsourcing expertise of persons in these countries to reduce their operational costs.</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Foreign Market Pricing</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Foreign market pricing affects the marketing mix of various companies since they are crucial determinants to the revenue-generating frameworks. The driving forces for pricing mechanisms depend on export price escalation, inflation, currency movements, and regulations (Toni et al., 2017). Firstly, export price escalation results from additional steps and risks associated with selling products internationally. Companies incur additional expenses of shipping, tariffs, and insurance. Besides, it is common phenomena for retail prices in foreign countries to be higher than the prices in the domestic markets. However, consumers in the foreign markets are not ready to pay for inflated prices of products. Secondly, the prevalence of inflation in some countries is a hindrance to multinationals since it is difficult to control and set prices for these markets. High inflation rates are major setbacks to progressive market mix strategies that aim at short-term success.</w:t>
      </w:r>
    </w:p>
    <w:p w:rsidR="008B16F7" w:rsidRPr="008B16F7" w:rsidRDefault="008B16F7" w:rsidP="008B16F7">
      <w:pPr>
        <w:spacing w:line="480" w:lineRule="auto"/>
        <w:ind w:firstLine="720"/>
        <w:rPr>
          <w:rFonts w:ascii="Times New Roman" w:hAnsi="Times New Roman" w:cs="Times New Roman"/>
          <w:sz w:val="24"/>
          <w:szCs w:val="24"/>
        </w:rPr>
      </w:pPr>
      <w:r w:rsidRPr="008B16F7">
        <w:rPr>
          <w:rFonts w:ascii="Times New Roman" w:hAnsi="Times New Roman" w:cs="Times New Roman"/>
          <w:sz w:val="24"/>
          <w:szCs w:val="24"/>
        </w:rPr>
        <w:t xml:space="preserve">Thirdly, currency movements in some of the global markets are unfavorable to multinationals since the exchanges rates determine the value of a currency. The fluctuation of currency rates in these countries results from unstable political and economic conditions. Global corporations find it difficult to set prices in such environments since gains or losses in the exchange rates need to be transferred to the consumers. Lastly, restrictive regulations such as anti-dumping laws and non-tariff barriers affect global pricing policies. For example, aggressive price mechanisms by multinationals are likely to force foreign governments to impose anti-dumping measures. Consequently, the competitive positions of the multinationals are jeopardized </w:t>
      </w:r>
      <w:r w:rsidRPr="008B16F7">
        <w:rPr>
          <w:rFonts w:ascii="Times New Roman" w:hAnsi="Times New Roman" w:cs="Times New Roman"/>
          <w:sz w:val="24"/>
          <w:szCs w:val="24"/>
        </w:rPr>
        <w:lastRenderedPageBreak/>
        <w:t>in such economic climates. I am opined that global corporations should monitor such laws before rationalizing on the best prices on foreign markets.</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Non-cash Compensation</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 xml:space="preserve">Non-cash compensations for global transactions include letters of credit, documentary collections, consignment, and open account. Letters of credit is a commitment method that global corporations use to make foreign banks to commit on behalf of the buyers that they will make payment to them once the verification process is complete. Documentary collections involve multinationals entrusting banks in the foreign country to collect payment from the sale of their products. Open accounts transaction enables companies to ship their goods to foreign companies, and the buyers can make payment at some time agreed between the two (export.gov, 2016). Lastly, consignment is an open account that requires dealers in foreign countries to make payments to the exporting company only after they have made sales.  </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 xml:space="preserve">Integrated Marketing Communication (IMC) Strategies </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 xml:space="preserve">IMC strategies face constraints such as reduced creativity since sale promotions need to align with the overall communication requirements. For example, brand image advertisement aimed for long-term marketing strategies can collide with sales promotion designed for short-term advertising. Also, the effective implementation of IMC needs more organizational support and resources. In this regard, companies incur additional expenses to put technological systems in place (Kitchen &amp; Tourky, 2015). Besides, there are constraints of unifying technology in different countries since data collected should be tied up before launch. Lastly, there are constraints of sharing and unifying brand assets among branches in different countries to ensure workflow sustainable.  </w:t>
      </w:r>
    </w:p>
    <w:p w:rsidR="008B16F7" w:rsidRPr="008B16F7"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8B16F7">
        <w:rPr>
          <w:rFonts w:ascii="Times New Roman" w:hAnsi="Times New Roman" w:cs="Times New Roman"/>
          <w:sz w:val="24"/>
          <w:szCs w:val="24"/>
        </w:rPr>
        <w:t>Moreover, integration tools in international markets are advantages since they give multinationals competitive edges since they boost profit margins. Increased profits are as a result of unified messages as opposed to disjointed ones that have to be consolidated through a consistent communication framework.  IMC helps customers to make purchases since it guides them on every step within the marketing paradigm. The customers can make purchases through numerous communication avenues where they can obtain relevant information (Kitchen &amp; Tourky, 2015). Companies can also consolidate their brand images by building interpersonal relationships with international buyers. In the face of stiff competition in the global market, companies can ensure brand loyalty. Conversely, foreign associates are likely to have limited knowledge on the IMC infrastructure; therefore, creating conflicts and communication problems. Also, the isolation of communicational tools among different branches can cause poor marketing coverage. Lastly, cultural diversity in the global market subject linked messages to misinterpretation.</w:t>
      </w:r>
    </w:p>
    <w:p w:rsidR="008B16F7" w:rsidRPr="008B16F7" w:rsidRDefault="008B16F7" w:rsidP="008B16F7">
      <w:pPr>
        <w:spacing w:line="480" w:lineRule="auto"/>
        <w:rPr>
          <w:rFonts w:ascii="Times New Roman" w:hAnsi="Times New Roman" w:cs="Times New Roman"/>
          <w:b/>
          <w:sz w:val="24"/>
          <w:szCs w:val="24"/>
        </w:rPr>
      </w:pPr>
      <w:r w:rsidRPr="008B16F7">
        <w:rPr>
          <w:rFonts w:ascii="Times New Roman" w:hAnsi="Times New Roman" w:cs="Times New Roman"/>
          <w:b/>
          <w:sz w:val="24"/>
          <w:szCs w:val="24"/>
        </w:rPr>
        <w:t xml:space="preserve">Logistics </w:t>
      </w:r>
    </w:p>
    <w:p w:rsidR="00A4512B" w:rsidRDefault="008B16F7" w:rsidP="008B16F7">
      <w:pPr>
        <w:spacing w:line="480" w:lineRule="auto"/>
        <w:rPr>
          <w:rFonts w:ascii="Times New Roman" w:hAnsi="Times New Roman" w:cs="Times New Roman"/>
          <w:sz w:val="24"/>
          <w:szCs w:val="24"/>
        </w:rPr>
      </w:pPr>
      <w:r w:rsidRPr="008B16F7">
        <w:rPr>
          <w:rFonts w:ascii="Times New Roman" w:hAnsi="Times New Roman" w:cs="Times New Roman"/>
          <w:sz w:val="24"/>
          <w:szCs w:val="24"/>
        </w:rPr>
        <w:t xml:space="preserve">    </w:t>
      </w:r>
      <w:r>
        <w:rPr>
          <w:rFonts w:ascii="Times New Roman" w:hAnsi="Times New Roman" w:cs="Times New Roman"/>
          <w:sz w:val="24"/>
          <w:szCs w:val="24"/>
        </w:rPr>
        <w:tab/>
      </w:r>
      <w:r w:rsidRPr="008B16F7">
        <w:rPr>
          <w:rFonts w:ascii="Times New Roman" w:hAnsi="Times New Roman" w:cs="Times New Roman"/>
          <w:sz w:val="24"/>
          <w:szCs w:val="24"/>
        </w:rPr>
        <w:t xml:space="preserve">Logistics enables multinationals to effectively manage supply chains since they can determine the storage, transportation, insurance, and customs costs. Companies can plan effectively to lower costs, prioritize operations, and mitigate risks. Also, logistics enable uninterrupted communication between manufacturers, suppliers, and multinationals in different parts of the world. Global corporations can keep in touch with what is happening in foreign countries from real-time data. Besides, companies can analyze customer data correctly by using technology to penetrate foreign countries. Lastly, companies can improve the quality and quantity of production processes to ensure that they meet the needs of the market. However, </w:t>
      </w:r>
      <w:r w:rsidRPr="008B16F7">
        <w:rPr>
          <w:rFonts w:ascii="Times New Roman" w:hAnsi="Times New Roman" w:cs="Times New Roman"/>
          <w:sz w:val="24"/>
          <w:szCs w:val="24"/>
        </w:rPr>
        <w:lastRenderedPageBreak/>
        <w:t>logistics is affected by changing customer needs, poor marketing infrastructure, and insecurity (Webb, 2017).</w:t>
      </w:r>
    </w:p>
    <w:p w:rsidR="00A4512B" w:rsidRDefault="00A4512B" w:rsidP="008B16F7">
      <w:pPr>
        <w:spacing w:line="480" w:lineRule="auto"/>
        <w:rPr>
          <w:rFonts w:ascii="Times New Roman" w:hAnsi="Times New Roman" w:cs="Times New Roman"/>
          <w:sz w:val="24"/>
          <w:szCs w:val="24"/>
        </w:rPr>
      </w:pPr>
    </w:p>
    <w:p w:rsidR="00A4512B" w:rsidRDefault="00A4512B" w:rsidP="008B16F7">
      <w:pPr>
        <w:spacing w:line="480" w:lineRule="auto"/>
        <w:rPr>
          <w:rFonts w:ascii="Times New Roman" w:hAnsi="Times New Roman" w:cs="Times New Roman"/>
          <w:sz w:val="24"/>
          <w:szCs w:val="24"/>
        </w:rPr>
      </w:pPr>
    </w:p>
    <w:p w:rsidR="00A4512B" w:rsidRDefault="00A4512B" w:rsidP="008B16F7">
      <w:pPr>
        <w:spacing w:line="480" w:lineRule="auto"/>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A4512B" w:rsidRDefault="00A4512B" w:rsidP="00065233">
      <w:pPr>
        <w:spacing w:line="480" w:lineRule="auto"/>
        <w:jc w:val="center"/>
        <w:rPr>
          <w:rFonts w:ascii="Times New Roman" w:hAnsi="Times New Roman" w:cs="Times New Roman"/>
          <w:sz w:val="24"/>
          <w:szCs w:val="24"/>
        </w:rPr>
      </w:pPr>
    </w:p>
    <w:p w:rsidR="008B16F7" w:rsidRDefault="008B16F7" w:rsidP="00065233">
      <w:pPr>
        <w:spacing w:line="480" w:lineRule="auto"/>
        <w:jc w:val="center"/>
        <w:rPr>
          <w:rFonts w:ascii="Times New Roman" w:hAnsi="Times New Roman" w:cs="Times New Roman"/>
          <w:sz w:val="24"/>
          <w:szCs w:val="24"/>
        </w:rPr>
      </w:pPr>
      <w:bookmarkStart w:id="0" w:name="_GoBack"/>
      <w:bookmarkEnd w:id="0"/>
    </w:p>
    <w:p w:rsidR="00065233" w:rsidRDefault="00065233" w:rsidP="000652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5AC0" w:rsidRDefault="00855AC0" w:rsidP="00855AC0">
      <w:pPr>
        <w:spacing w:line="480" w:lineRule="auto"/>
        <w:rPr>
          <w:rFonts w:ascii="Times New Roman" w:hAnsi="Times New Roman" w:cs="Times New Roman"/>
          <w:sz w:val="24"/>
          <w:szCs w:val="24"/>
        </w:rPr>
      </w:pPr>
      <w:r>
        <w:rPr>
          <w:rFonts w:ascii="Times New Roman" w:hAnsi="Times New Roman" w:cs="Times New Roman"/>
          <w:sz w:val="24"/>
          <w:szCs w:val="24"/>
        </w:rPr>
        <w:t xml:space="preserve">Export.gov. (2016). Methods of payment in international trade. US Companies export. </w:t>
      </w:r>
    </w:p>
    <w:p w:rsidR="00855AC0" w:rsidRDefault="00855AC0" w:rsidP="00855AC0">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855AC0" w:rsidRDefault="00855AC0" w:rsidP="00855AC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855AC0">
          <w:rPr>
            <w:rStyle w:val="Hyperlink"/>
            <w:rFonts w:ascii="Times New Roman" w:hAnsi="Times New Roman" w:cs="Times New Roman"/>
            <w:sz w:val="24"/>
            <w:szCs w:val="24"/>
          </w:rPr>
          <w:t>https://2016.export.gov/tradefinanceguide/eg_main_043221.asp</w:t>
        </w:r>
      </w:hyperlink>
    </w:p>
    <w:p w:rsidR="002B0EF4" w:rsidRDefault="002B0EF4" w:rsidP="00855AC0">
      <w:pPr>
        <w:spacing w:line="480" w:lineRule="auto"/>
        <w:rPr>
          <w:rFonts w:ascii="Times New Roman" w:hAnsi="Times New Roman" w:cs="Times New Roman"/>
          <w:sz w:val="24"/>
          <w:szCs w:val="24"/>
        </w:rPr>
      </w:pPr>
      <w:r>
        <w:rPr>
          <w:rFonts w:ascii="Times New Roman" w:hAnsi="Times New Roman" w:cs="Times New Roman"/>
          <w:sz w:val="24"/>
          <w:szCs w:val="24"/>
        </w:rPr>
        <w:t>Faulkner, N. (2016). Coca-Cola and the success of personalization. Retrieved from</w:t>
      </w:r>
    </w:p>
    <w:p w:rsidR="002B0EF4" w:rsidRPr="002B0EF4" w:rsidRDefault="002B0EF4" w:rsidP="002B0EF4">
      <w:pPr>
        <w:spacing w:line="480" w:lineRule="auto"/>
        <w:ind w:left="720"/>
        <w:rPr>
          <w:rFonts w:ascii="Times New Roman" w:hAnsi="Times New Roman" w:cs="Times New Roman"/>
          <w:sz w:val="24"/>
          <w:szCs w:val="24"/>
        </w:rPr>
      </w:pPr>
      <w:hyperlink r:id="rId8" w:history="1">
        <w:r w:rsidRPr="002B0EF4">
          <w:rPr>
            <w:rStyle w:val="Hyperlink"/>
            <w:rFonts w:ascii="Times New Roman" w:hAnsi="Times New Roman" w:cs="Times New Roman"/>
            <w:sz w:val="24"/>
            <w:szCs w:val="24"/>
          </w:rPr>
          <w:t>https://www.business2community.com/email-marketing/coca-cola-success-personalisation-01587120</w:t>
        </w:r>
      </w:hyperlink>
    </w:p>
    <w:p w:rsidR="002B0EF4" w:rsidRDefault="002B0EF4" w:rsidP="00855AC0">
      <w:pPr>
        <w:spacing w:line="480" w:lineRule="auto"/>
        <w:rPr>
          <w:rFonts w:ascii="Times New Roman" w:hAnsi="Times New Roman" w:cs="Times New Roman"/>
          <w:sz w:val="24"/>
          <w:szCs w:val="24"/>
        </w:rPr>
      </w:pPr>
      <w:r>
        <w:rPr>
          <w:rFonts w:ascii="Times New Roman" w:hAnsi="Times New Roman" w:cs="Times New Roman"/>
          <w:sz w:val="24"/>
          <w:szCs w:val="24"/>
        </w:rPr>
        <w:t>Hovivian, F. (2017). Globalization: Apple’s one-size-fits-all approach. Brand Quarterly.</w:t>
      </w:r>
    </w:p>
    <w:p w:rsidR="002B0EF4" w:rsidRDefault="002B0EF4" w:rsidP="00855AC0">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2B0EF4" w:rsidRPr="002B0EF4" w:rsidRDefault="002B0EF4" w:rsidP="00855AC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2B0EF4">
          <w:rPr>
            <w:rStyle w:val="Hyperlink"/>
            <w:rFonts w:ascii="Times New Roman" w:hAnsi="Times New Roman" w:cs="Times New Roman"/>
            <w:sz w:val="24"/>
            <w:szCs w:val="24"/>
          </w:rPr>
          <w:t>http://www.brandquarterly.com/globalization-apples-one-size-fits-approach</w:t>
        </w:r>
      </w:hyperlink>
    </w:p>
    <w:p w:rsidR="0065203C" w:rsidRDefault="0065203C" w:rsidP="00855AC0">
      <w:pPr>
        <w:spacing w:line="480" w:lineRule="auto"/>
        <w:rPr>
          <w:rFonts w:ascii="Times New Roman" w:hAnsi="Times New Roman" w:cs="Times New Roman"/>
          <w:sz w:val="24"/>
          <w:szCs w:val="24"/>
        </w:rPr>
      </w:pPr>
      <w:r>
        <w:rPr>
          <w:rFonts w:ascii="Times New Roman" w:hAnsi="Times New Roman" w:cs="Times New Roman"/>
          <w:sz w:val="24"/>
          <w:szCs w:val="24"/>
        </w:rPr>
        <w:t xml:space="preserve">Jiang, Q. &amp; Luan, C. (2018). Diffusion, convergence and influence of pharmaceutical </w:t>
      </w:r>
    </w:p>
    <w:p w:rsidR="0065203C" w:rsidRPr="0065203C" w:rsidRDefault="0065203C" w:rsidP="00855AC0">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innovations: A comparative study of Chinese and US patents. </w:t>
      </w:r>
      <w:r w:rsidRPr="0065203C">
        <w:rPr>
          <w:rFonts w:ascii="Times New Roman" w:hAnsi="Times New Roman" w:cs="Times New Roman"/>
          <w:i/>
          <w:sz w:val="24"/>
          <w:szCs w:val="24"/>
        </w:rPr>
        <w:t>Globalization</w:t>
      </w:r>
    </w:p>
    <w:p w:rsidR="0065203C" w:rsidRDefault="0065203C" w:rsidP="00855AC0">
      <w:pPr>
        <w:spacing w:line="480" w:lineRule="auto"/>
        <w:rPr>
          <w:rFonts w:ascii="Times New Roman" w:hAnsi="Times New Roman" w:cs="Times New Roman"/>
          <w:sz w:val="24"/>
          <w:szCs w:val="24"/>
        </w:rPr>
      </w:pPr>
      <w:r w:rsidRPr="0065203C">
        <w:rPr>
          <w:rFonts w:ascii="Times New Roman" w:hAnsi="Times New Roman" w:cs="Times New Roman"/>
          <w:i/>
          <w:sz w:val="24"/>
          <w:szCs w:val="24"/>
        </w:rPr>
        <w:tab/>
      </w:r>
      <w:r>
        <w:rPr>
          <w:rFonts w:ascii="Times New Roman" w:hAnsi="Times New Roman" w:cs="Times New Roman"/>
          <w:i/>
          <w:sz w:val="24"/>
          <w:szCs w:val="24"/>
        </w:rPr>
        <w:t>a</w:t>
      </w:r>
      <w:r w:rsidRPr="0065203C">
        <w:rPr>
          <w:rFonts w:ascii="Times New Roman" w:hAnsi="Times New Roman" w:cs="Times New Roman"/>
          <w:i/>
          <w:sz w:val="24"/>
          <w:szCs w:val="24"/>
        </w:rPr>
        <w:t xml:space="preserve">nd Health. </w:t>
      </w:r>
      <w:r>
        <w:rPr>
          <w:rFonts w:ascii="Times New Roman" w:hAnsi="Times New Roman" w:cs="Times New Roman"/>
          <w:sz w:val="24"/>
          <w:szCs w:val="24"/>
        </w:rPr>
        <w:t>14(92).</w:t>
      </w:r>
    </w:p>
    <w:p w:rsidR="002B0EF4" w:rsidRDefault="0065203C" w:rsidP="00855A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10" w:history="1">
        <w:r w:rsidRPr="00387902">
          <w:rPr>
            <w:rStyle w:val="Hyperlink"/>
            <w:rFonts w:ascii="Times New Roman" w:hAnsi="Times New Roman" w:cs="Times New Roman"/>
            <w:sz w:val="24"/>
            <w:szCs w:val="24"/>
          </w:rPr>
          <w:t>https://dx.doi.org/10.1186%2Fs12992-018-0408-z</w:t>
        </w:r>
      </w:hyperlink>
    </w:p>
    <w:p w:rsidR="005B2903" w:rsidRDefault="005B2903" w:rsidP="00855AC0">
      <w:pPr>
        <w:spacing w:line="480" w:lineRule="auto"/>
        <w:rPr>
          <w:rFonts w:ascii="Times New Roman" w:hAnsi="Times New Roman" w:cs="Times New Roman"/>
          <w:sz w:val="24"/>
          <w:szCs w:val="24"/>
        </w:rPr>
      </w:pPr>
      <w:r>
        <w:rPr>
          <w:rFonts w:ascii="Times New Roman" w:hAnsi="Times New Roman" w:cs="Times New Roman"/>
          <w:sz w:val="24"/>
          <w:szCs w:val="24"/>
        </w:rPr>
        <w:t xml:space="preserve">Kitchen, P. J. &amp; Tourky, M. (2015). Integrated marketing communications: A contextual </w:t>
      </w:r>
    </w:p>
    <w:p w:rsidR="005B2903" w:rsidRDefault="005B2903" w:rsidP="00855A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International advertising approach. </w:t>
      </w:r>
      <w:r w:rsidRPr="005B2903">
        <w:rPr>
          <w:rFonts w:ascii="Times New Roman" w:hAnsi="Times New Roman" w:cs="Times New Roman"/>
          <w:i/>
          <w:sz w:val="24"/>
          <w:szCs w:val="24"/>
        </w:rPr>
        <w:t>Journal of Applied Genetics</w:t>
      </w:r>
      <w:r>
        <w:rPr>
          <w:rFonts w:ascii="Times New Roman" w:hAnsi="Times New Roman" w:cs="Times New Roman"/>
          <w:sz w:val="24"/>
          <w:szCs w:val="24"/>
        </w:rPr>
        <w:t>. 19-48</w:t>
      </w:r>
    </w:p>
    <w:p w:rsidR="005B2903" w:rsidRDefault="005B2903" w:rsidP="00855AC0">
      <w:pPr>
        <w:spacing w:line="480" w:lineRule="auto"/>
        <w:rPr>
          <w:rFonts w:ascii="Times New Roman" w:hAnsi="Times New Roman" w:cs="Times New Roman"/>
          <w:sz w:val="24"/>
          <w:szCs w:val="24"/>
        </w:rPr>
      </w:pPr>
      <w:r>
        <w:rPr>
          <w:rFonts w:ascii="Times New Roman" w:hAnsi="Times New Roman" w:cs="Times New Roman"/>
          <w:sz w:val="24"/>
          <w:szCs w:val="24"/>
        </w:rPr>
        <w:t>Toni, D. D., Milan, G. S., Saciloto, E. B. &amp; Laurentis, F. (2017). Pricing strategies and levels of</w:t>
      </w:r>
    </w:p>
    <w:p w:rsidR="005B2903" w:rsidRDefault="005B2903" w:rsidP="00855AC0">
      <w:pPr>
        <w:spacing w:line="480" w:lineRule="auto"/>
        <w:rPr>
          <w:rFonts w:ascii="Times New Roman" w:hAnsi="Times New Roman" w:cs="Times New Roman"/>
          <w:sz w:val="24"/>
          <w:szCs w:val="24"/>
        </w:rPr>
      </w:pPr>
      <w:r>
        <w:rPr>
          <w:rFonts w:ascii="Times New Roman" w:hAnsi="Times New Roman" w:cs="Times New Roman"/>
          <w:sz w:val="24"/>
          <w:szCs w:val="24"/>
        </w:rPr>
        <w:tab/>
        <w:t>impact on corporate profitability. Science Direct. 52(2), 120-133.</w:t>
      </w:r>
    </w:p>
    <w:p w:rsidR="005B2903" w:rsidRDefault="005B2903" w:rsidP="00855AC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doi: </w:t>
      </w:r>
      <w:hyperlink r:id="rId11" w:history="1">
        <w:r w:rsidRPr="00387902">
          <w:rPr>
            <w:rStyle w:val="Hyperlink"/>
            <w:rFonts w:ascii="Times New Roman" w:hAnsi="Times New Roman" w:cs="Times New Roman"/>
            <w:sz w:val="24"/>
            <w:szCs w:val="24"/>
          </w:rPr>
          <w:t>https://doi.org/10.1016/j.rausp.2016.12.004</w:t>
        </w:r>
      </w:hyperlink>
    </w:p>
    <w:p w:rsidR="00855AC0" w:rsidRDefault="00855AC0" w:rsidP="00855AC0">
      <w:pPr>
        <w:spacing w:line="480" w:lineRule="auto"/>
        <w:rPr>
          <w:rFonts w:ascii="Times New Roman" w:hAnsi="Times New Roman" w:cs="Times New Roman"/>
          <w:sz w:val="24"/>
          <w:szCs w:val="24"/>
        </w:rPr>
      </w:pPr>
      <w:r>
        <w:rPr>
          <w:rFonts w:ascii="Times New Roman" w:hAnsi="Times New Roman" w:cs="Times New Roman"/>
          <w:sz w:val="24"/>
          <w:szCs w:val="24"/>
        </w:rPr>
        <w:t>Webb, T. (2017). 5 major problems the global logistics industry is facing. Baneasa Airport.</w:t>
      </w:r>
    </w:p>
    <w:p w:rsidR="00855AC0" w:rsidRDefault="00855AC0" w:rsidP="00855AC0">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855AC0" w:rsidRPr="00855AC0" w:rsidRDefault="00855AC0" w:rsidP="00855AC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2" w:history="1">
        <w:r w:rsidRPr="00855AC0">
          <w:rPr>
            <w:rStyle w:val="Hyperlink"/>
            <w:rFonts w:ascii="Times New Roman" w:hAnsi="Times New Roman" w:cs="Times New Roman"/>
            <w:sz w:val="24"/>
            <w:szCs w:val="24"/>
          </w:rPr>
          <w:t>http://www.baneasa-airport.com/5-major-problems-global-logistics-industry-facing/</w:t>
        </w:r>
      </w:hyperlink>
    </w:p>
    <w:p w:rsidR="00855AC0" w:rsidRDefault="002B0EF4" w:rsidP="002B0EF4">
      <w:pPr>
        <w:spacing w:line="480" w:lineRule="auto"/>
        <w:rPr>
          <w:rFonts w:ascii="Times New Roman" w:hAnsi="Times New Roman" w:cs="Times New Roman"/>
          <w:sz w:val="24"/>
          <w:szCs w:val="24"/>
        </w:rPr>
      </w:pPr>
      <w:r>
        <w:rPr>
          <w:rFonts w:ascii="Times New Roman" w:hAnsi="Times New Roman" w:cs="Times New Roman"/>
          <w:sz w:val="24"/>
          <w:szCs w:val="24"/>
        </w:rPr>
        <w:t xml:space="preserve">Westjohn, S. A. &amp; Magnusson, P. (2017). Export performance: A focus on discretionary </w:t>
      </w:r>
    </w:p>
    <w:p w:rsidR="002B0EF4" w:rsidRDefault="002B0EF4" w:rsidP="002B0E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adaptation. Journal of International Marketing. </w:t>
      </w:r>
    </w:p>
    <w:p w:rsidR="00065233" w:rsidRDefault="002B0EF4" w:rsidP="000652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13" w:history="1">
        <w:r w:rsidRPr="00387902">
          <w:rPr>
            <w:rStyle w:val="Hyperlink"/>
            <w:rFonts w:ascii="Times New Roman" w:hAnsi="Times New Roman" w:cs="Times New Roman"/>
            <w:sz w:val="24"/>
            <w:szCs w:val="24"/>
          </w:rPr>
          <w:t>https://doi.org/10.1509%2Fjim.16.0114</w:t>
        </w:r>
      </w:hyperlink>
    </w:p>
    <w:p w:rsidR="002B0EF4" w:rsidRPr="00943F37" w:rsidRDefault="002B0EF4" w:rsidP="00065233">
      <w:pPr>
        <w:spacing w:line="480" w:lineRule="auto"/>
        <w:rPr>
          <w:rFonts w:ascii="Times New Roman" w:hAnsi="Times New Roman" w:cs="Times New Roman"/>
          <w:sz w:val="24"/>
          <w:szCs w:val="24"/>
        </w:rPr>
      </w:pPr>
    </w:p>
    <w:p w:rsidR="00943F37" w:rsidRDefault="00943F37" w:rsidP="00996408">
      <w:pPr>
        <w:spacing w:line="480" w:lineRule="auto"/>
        <w:rPr>
          <w:rFonts w:ascii="Times New Roman" w:hAnsi="Times New Roman" w:cs="Times New Roman"/>
          <w:sz w:val="24"/>
          <w:szCs w:val="24"/>
        </w:rPr>
      </w:pPr>
    </w:p>
    <w:p w:rsidR="00C9460C" w:rsidRPr="001139DD" w:rsidRDefault="00BA7976" w:rsidP="00996408">
      <w:pPr>
        <w:spacing w:line="480" w:lineRule="auto"/>
        <w:rPr>
          <w:rFonts w:ascii="Times New Roman" w:hAnsi="Times New Roman" w:cs="Times New Roman"/>
          <w:sz w:val="24"/>
          <w:szCs w:val="24"/>
        </w:rPr>
      </w:pPr>
      <w:r>
        <w:rPr>
          <w:rFonts w:ascii="Times New Roman" w:hAnsi="Times New Roman" w:cs="Times New Roman"/>
          <w:sz w:val="24"/>
          <w:szCs w:val="24"/>
        </w:rPr>
        <w:tab/>
      </w:r>
      <w:r w:rsidR="00C9460C">
        <w:rPr>
          <w:rFonts w:ascii="Times New Roman" w:hAnsi="Times New Roman" w:cs="Times New Roman"/>
          <w:sz w:val="24"/>
          <w:szCs w:val="24"/>
        </w:rPr>
        <w:t xml:space="preserve"> </w:t>
      </w:r>
    </w:p>
    <w:p w:rsidR="00755CF4" w:rsidRPr="00663D98" w:rsidRDefault="005B7299" w:rsidP="00996408">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755CF4" w:rsidRPr="00663D98" w:rsidSect="00663D9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BCD" w:rsidRDefault="00C60BCD" w:rsidP="00663D98">
      <w:pPr>
        <w:spacing w:after="0" w:line="240" w:lineRule="auto"/>
      </w:pPr>
      <w:r>
        <w:separator/>
      </w:r>
    </w:p>
  </w:endnote>
  <w:endnote w:type="continuationSeparator" w:id="0">
    <w:p w:rsidR="00C60BCD" w:rsidRDefault="00C60BCD" w:rsidP="00663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BCD" w:rsidRDefault="00C60BCD" w:rsidP="00663D98">
      <w:pPr>
        <w:spacing w:after="0" w:line="240" w:lineRule="auto"/>
      </w:pPr>
      <w:r>
        <w:separator/>
      </w:r>
    </w:p>
  </w:footnote>
  <w:footnote w:type="continuationSeparator" w:id="0">
    <w:p w:rsidR="00C60BCD" w:rsidRDefault="00C60BCD" w:rsidP="00663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D98" w:rsidRPr="00663D98" w:rsidRDefault="00663D98" w:rsidP="00663D98">
    <w:pPr>
      <w:pStyle w:val="Header"/>
      <w:rPr>
        <w:rFonts w:ascii="Times New Roman" w:hAnsi="Times New Roman" w:cs="Times New Roman"/>
        <w:sz w:val="24"/>
        <w:szCs w:val="24"/>
      </w:rPr>
    </w:pPr>
    <w:r w:rsidRPr="00663D98">
      <w:rPr>
        <w:rFonts w:ascii="Times New Roman" w:hAnsi="Times New Roman" w:cs="Times New Roman"/>
        <w:sz w:val="24"/>
        <w:szCs w:val="24"/>
      </w:rPr>
      <w:t>GLOBAL FORTUNE 500</w:t>
    </w:r>
    <w:r>
      <w:rPr>
        <w:rFonts w:ascii="Times New Roman" w:hAnsi="Times New Roman" w:cs="Times New Roman"/>
        <w:sz w:val="24"/>
        <w:szCs w:val="24"/>
      </w:rPr>
      <w:t xml:space="preserve"> COMPANY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63D98">
      <w:rPr>
        <w:rFonts w:ascii="Times New Roman" w:hAnsi="Times New Roman" w:cs="Times New Roman"/>
        <w:sz w:val="24"/>
        <w:szCs w:val="24"/>
      </w:rPr>
      <w:t xml:space="preserve"> </w:t>
    </w:r>
    <w:sdt>
      <w:sdtPr>
        <w:rPr>
          <w:rFonts w:ascii="Times New Roman" w:hAnsi="Times New Roman" w:cs="Times New Roman"/>
          <w:sz w:val="24"/>
          <w:szCs w:val="24"/>
        </w:rPr>
        <w:id w:val="-1563712438"/>
        <w:docPartObj>
          <w:docPartGallery w:val="Page Numbers (Top of Page)"/>
          <w:docPartUnique/>
        </w:docPartObj>
      </w:sdtPr>
      <w:sdtEndPr>
        <w:rPr>
          <w:noProof/>
        </w:rPr>
      </w:sdtEndPr>
      <w:sdtContent>
        <w:r w:rsidRPr="00663D98">
          <w:rPr>
            <w:rFonts w:ascii="Times New Roman" w:hAnsi="Times New Roman" w:cs="Times New Roman"/>
            <w:sz w:val="24"/>
            <w:szCs w:val="24"/>
          </w:rPr>
          <w:fldChar w:fldCharType="begin"/>
        </w:r>
        <w:r w:rsidRPr="00663D98">
          <w:rPr>
            <w:rFonts w:ascii="Times New Roman" w:hAnsi="Times New Roman" w:cs="Times New Roman"/>
            <w:sz w:val="24"/>
            <w:szCs w:val="24"/>
          </w:rPr>
          <w:instrText xml:space="preserve"> PAGE   \* MERGEFORMAT </w:instrText>
        </w:r>
        <w:r w:rsidRPr="00663D98">
          <w:rPr>
            <w:rFonts w:ascii="Times New Roman" w:hAnsi="Times New Roman" w:cs="Times New Roman"/>
            <w:sz w:val="24"/>
            <w:szCs w:val="24"/>
          </w:rPr>
          <w:fldChar w:fldCharType="separate"/>
        </w:r>
        <w:r w:rsidR="008B16F7">
          <w:rPr>
            <w:rFonts w:ascii="Times New Roman" w:hAnsi="Times New Roman" w:cs="Times New Roman"/>
            <w:noProof/>
            <w:sz w:val="24"/>
            <w:szCs w:val="24"/>
          </w:rPr>
          <w:t>10</w:t>
        </w:r>
        <w:r w:rsidRPr="00663D98">
          <w:rPr>
            <w:rFonts w:ascii="Times New Roman" w:hAnsi="Times New Roman" w:cs="Times New Roman"/>
            <w:noProof/>
            <w:sz w:val="24"/>
            <w:szCs w:val="24"/>
          </w:rPr>
          <w:fldChar w:fldCharType="end"/>
        </w:r>
      </w:sdtContent>
    </w:sdt>
  </w:p>
  <w:p w:rsidR="00663D98" w:rsidRDefault="00663D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D98" w:rsidRPr="00663D98" w:rsidRDefault="00663D98" w:rsidP="00663D98">
    <w:pPr>
      <w:pStyle w:val="Header"/>
      <w:spacing w:line="480" w:lineRule="auto"/>
      <w:rPr>
        <w:rFonts w:ascii="Times New Roman" w:hAnsi="Times New Roman" w:cs="Times New Roman"/>
        <w:sz w:val="24"/>
        <w:szCs w:val="24"/>
      </w:rPr>
    </w:pPr>
    <w:r w:rsidRPr="00663D98">
      <w:rPr>
        <w:rFonts w:ascii="Times New Roman" w:hAnsi="Times New Roman" w:cs="Times New Roman"/>
        <w:sz w:val="24"/>
        <w:szCs w:val="24"/>
      </w:rPr>
      <w:t>Running head: FORTUNE 500 COMPANY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63D98">
      <w:rPr>
        <w:rFonts w:ascii="Times New Roman" w:hAnsi="Times New Roman" w:cs="Times New Roman"/>
        <w:sz w:val="24"/>
        <w:szCs w:val="24"/>
      </w:rPr>
      <w:t xml:space="preserve"> </w:t>
    </w:r>
    <w:sdt>
      <w:sdtPr>
        <w:rPr>
          <w:rFonts w:ascii="Times New Roman" w:hAnsi="Times New Roman" w:cs="Times New Roman"/>
          <w:sz w:val="24"/>
          <w:szCs w:val="24"/>
        </w:rPr>
        <w:id w:val="178700945"/>
        <w:docPartObj>
          <w:docPartGallery w:val="Page Numbers (Top of Page)"/>
          <w:docPartUnique/>
        </w:docPartObj>
      </w:sdtPr>
      <w:sdtEndPr>
        <w:rPr>
          <w:noProof/>
        </w:rPr>
      </w:sdtEndPr>
      <w:sdtContent>
        <w:r w:rsidRPr="00663D98">
          <w:rPr>
            <w:rFonts w:ascii="Times New Roman" w:hAnsi="Times New Roman" w:cs="Times New Roman"/>
            <w:sz w:val="24"/>
            <w:szCs w:val="24"/>
          </w:rPr>
          <w:fldChar w:fldCharType="begin"/>
        </w:r>
        <w:r w:rsidRPr="00663D98">
          <w:rPr>
            <w:rFonts w:ascii="Times New Roman" w:hAnsi="Times New Roman" w:cs="Times New Roman"/>
            <w:sz w:val="24"/>
            <w:szCs w:val="24"/>
          </w:rPr>
          <w:instrText xml:space="preserve"> PAGE   \* MERGEFORMAT </w:instrText>
        </w:r>
        <w:r w:rsidRPr="00663D98">
          <w:rPr>
            <w:rFonts w:ascii="Times New Roman" w:hAnsi="Times New Roman" w:cs="Times New Roman"/>
            <w:sz w:val="24"/>
            <w:szCs w:val="24"/>
          </w:rPr>
          <w:fldChar w:fldCharType="separate"/>
        </w:r>
        <w:r w:rsidR="008B16F7">
          <w:rPr>
            <w:rFonts w:ascii="Times New Roman" w:hAnsi="Times New Roman" w:cs="Times New Roman"/>
            <w:noProof/>
            <w:sz w:val="24"/>
            <w:szCs w:val="24"/>
          </w:rPr>
          <w:t>1</w:t>
        </w:r>
        <w:r w:rsidRPr="00663D98">
          <w:rPr>
            <w:rFonts w:ascii="Times New Roman" w:hAnsi="Times New Roman" w:cs="Times New Roman"/>
            <w:noProof/>
            <w:sz w:val="24"/>
            <w:szCs w:val="24"/>
          </w:rPr>
          <w:fldChar w:fldCharType="end"/>
        </w:r>
      </w:sdtContent>
    </w:sdt>
  </w:p>
  <w:p w:rsidR="00663D98" w:rsidRDefault="00663D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D98"/>
    <w:rsid w:val="00065233"/>
    <w:rsid w:val="000741EF"/>
    <w:rsid w:val="001139DD"/>
    <w:rsid w:val="001479DC"/>
    <w:rsid w:val="001D2666"/>
    <w:rsid w:val="00244951"/>
    <w:rsid w:val="002B0EF4"/>
    <w:rsid w:val="003826D1"/>
    <w:rsid w:val="00400DAD"/>
    <w:rsid w:val="004904F9"/>
    <w:rsid w:val="004D1FBE"/>
    <w:rsid w:val="0050772E"/>
    <w:rsid w:val="00562F81"/>
    <w:rsid w:val="00567CAB"/>
    <w:rsid w:val="00574896"/>
    <w:rsid w:val="005B2903"/>
    <w:rsid w:val="005B7299"/>
    <w:rsid w:val="0065203C"/>
    <w:rsid w:val="00663D98"/>
    <w:rsid w:val="00755CF4"/>
    <w:rsid w:val="007D1F3E"/>
    <w:rsid w:val="00855AC0"/>
    <w:rsid w:val="00893DE6"/>
    <w:rsid w:val="008B16F7"/>
    <w:rsid w:val="008C4E5E"/>
    <w:rsid w:val="00943F37"/>
    <w:rsid w:val="009579F0"/>
    <w:rsid w:val="009717B2"/>
    <w:rsid w:val="00996408"/>
    <w:rsid w:val="009B7B1E"/>
    <w:rsid w:val="00A4512B"/>
    <w:rsid w:val="00AA3EFC"/>
    <w:rsid w:val="00AB1AEB"/>
    <w:rsid w:val="00BA7976"/>
    <w:rsid w:val="00BD4F4E"/>
    <w:rsid w:val="00C60BCD"/>
    <w:rsid w:val="00C9460C"/>
    <w:rsid w:val="00CE1C2B"/>
    <w:rsid w:val="00DA42D0"/>
    <w:rsid w:val="00DF46D8"/>
    <w:rsid w:val="00E37B9B"/>
    <w:rsid w:val="00E502E6"/>
    <w:rsid w:val="00E64A83"/>
    <w:rsid w:val="00ED10B1"/>
    <w:rsid w:val="00FD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D98"/>
  </w:style>
  <w:style w:type="paragraph" w:styleId="Footer">
    <w:name w:val="footer"/>
    <w:basedOn w:val="Normal"/>
    <w:link w:val="FooterChar"/>
    <w:uiPriority w:val="99"/>
    <w:unhideWhenUsed/>
    <w:rsid w:val="00663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D98"/>
  </w:style>
  <w:style w:type="character" w:styleId="Hyperlink">
    <w:name w:val="Hyperlink"/>
    <w:basedOn w:val="DefaultParagraphFont"/>
    <w:uiPriority w:val="99"/>
    <w:unhideWhenUsed/>
    <w:rsid w:val="00855A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D98"/>
  </w:style>
  <w:style w:type="paragraph" w:styleId="Footer">
    <w:name w:val="footer"/>
    <w:basedOn w:val="Normal"/>
    <w:link w:val="FooterChar"/>
    <w:uiPriority w:val="99"/>
    <w:unhideWhenUsed/>
    <w:rsid w:val="00663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D98"/>
  </w:style>
  <w:style w:type="character" w:styleId="Hyperlink">
    <w:name w:val="Hyperlink"/>
    <w:basedOn w:val="DefaultParagraphFont"/>
    <w:uiPriority w:val="99"/>
    <w:unhideWhenUsed/>
    <w:rsid w:val="00855A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2community.com/email-marketing/coca-cola-success-personalisation-01587120" TargetMode="External"/><Relationship Id="rId13" Type="http://schemas.openxmlformats.org/officeDocument/2006/relationships/hyperlink" Target="https://doi.org/10.1509%2Fjim.16.0114" TargetMode="External"/><Relationship Id="rId3" Type="http://schemas.openxmlformats.org/officeDocument/2006/relationships/settings" Target="settings.xml"/><Relationship Id="rId7" Type="http://schemas.openxmlformats.org/officeDocument/2006/relationships/hyperlink" Target="https://2016.export.gov/tradefinanceguide/eg_main_043221.asp" TargetMode="External"/><Relationship Id="rId12" Type="http://schemas.openxmlformats.org/officeDocument/2006/relationships/hyperlink" Target="http://www.baneasa-airport.com/5-major-problems-global-logistics-industry-facin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016/j.rausp.2016.12.00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x.doi.org/10.1186%2Fs12992-018-0408-z" TargetMode="External"/><Relationship Id="rId4" Type="http://schemas.openxmlformats.org/officeDocument/2006/relationships/webSettings" Target="webSettings.xml"/><Relationship Id="rId9" Type="http://schemas.openxmlformats.org/officeDocument/2006/relationships/hyperlink" Target="http://www.brandquarterly.com/globalization-apples-one-size-fits-approac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10</Pages>
  <Words>2059</Words>
  <Characters>11740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2019-04-27T10:51:00Z</dcterms:created>
  <dcterms:modified xsi:type="dcterms:W3CDTF">2019-04-27T21:26:00Z</dcterms:modified>
</cp:coreProperties>
</file>